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D3BC" w14:textId="11468AAB" w:rsidR="009C4C55" w:rsidRPr="009C4C55" w:rsidRDefault="00437C66" w:rsidP="009C4C55">
      <w:pPr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TECNOCASA: </w:t>
      </w:r>
      <w:r w:rsidR="009C4C55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IL </w:t>
      </w:r>
      <w:r w:rsidR="009C4C55" w:rsidRPr="009C4C55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MERCATO </w:t>
      </w:r>
      <w:r w:rsidR="009C4C55">
        <w:rPr>
          <w:rFonts w:asciiTheme="minorHAnsi" w:hAnsiTheme="minorHAnsi" w:cstheme="minorHAnsi"/>
          <w:b/>
          <w:bCs/>
          <w:color w:val="00B050"/>
          <w:sz w:val="36"/>
          <w:szCs w:val="36"/>
        </w:rPr>
        <w:t>DELLE LOCAZIONI RESIDENZIALI</w:t>
      </w:r>
    </w:p>
    <w:p w14:paraId="4C9F7569" w14:textId="4CA97A01" w:rsidR="00437C66" w:rsidRPr="00437C66" w:rsidRDefault="00437C66" w:rsidP="009C4C55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B050"/>
          <w:sz w:val="32"/>
          <w:szCs w:val="32"/>
        </w:rPr>
        <w:t>Ca</w:t>
      </w:r>
      <w:r w:rsidRPr="00437C66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noni in rialzo </w:t>
      </w:r>
      <w:r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in tutte le grandi città. In testa Bari, Napoli e Verona </w:t>
      </w:r>
    </w:p>
    <w:p w14:paraId="7906F8B9" w14:textId="77777777" w:rsidR="009C4C55" w:rsidRPr="006B76DF" w:rsidRDefault="009C4C55" w:rsidP="00D8322B">
      <w:pPr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3CD871B7" w14:textId="77777777" w:rsidR="009E3B1B" w:rsidRDefault="00D8322B" w:rsidP="005B772A">
      <w:pPr>
        <w:jc w:val="both"/>
        <w:rPr>
          <w:rFonts w:asciiTheme="minorHAnsi" w:hAnsiTheme="minorHAnsi" w:cstheme="minorHAnsi"/>
          <w:color w:val="auto"/>
        </w:rPr>
      </w:pPr>
      <w:bookmarkStart w:id="0" w:name="_Hlk145077078"/>
      <w:r w:rsidRPr="009E3B1B">
        <w:rPr>
          <w:rFonts w:asciiTheme="minorHAnsi" w:hAnsiTheme="minorHAnsi" w:cstheme="minorHAnsi"/>
          <w:color w:val="auto"/>
        </w:rPr>
        <w:t xml:space="preserve">I canoni di locazione continuano a crescere anche se a tassi inferiori rispetto al semestre precedente: </w:t>
      </w:r>
      <w:r w:rsidR="009E3B1B" w:rsidRPr="00D06976">
        <w:rPr>
          <w:rFonts w:asciiTheme="minorHAnsi" w:hAnsiTheme="minorHAnsi" w:cstheme="minorHAnsi"/>
          <w:b/>
          <w:bCs/>
          <w:color w:val="auto"/>
        </w:rPr>
        <w:t xml:space="preserve">l’Ufficio Studi del Gruppo Tecnocasa registra </w:t>
      </w:r>
      <w:r w:rsidRPr="00D06976">
        <w:rPr>
          <w:rFonts w:asciiTheme="minorHAnsi" w:hAnsiTheme="minorHAnsi" w:cstheme="minorHAnsi"/>
          <w:b/>
          <w:bCs/>
          <w:color w:val="auto"/>
        </w:rPr>
        <w:t>+3,4% per i monolocali, + 3,0% per i bilocali e +3,2% per i trilocali</w:t>
      </w:r>
      <w:r w:rsidRPr="009E3B1B">
        <w:rPr>
          <w:rFonts w:asciiTheme="minorHAnsi" w:hAnsiTheme="minorHAnsi" w:cstheme="minorHAnsi"/>
          <w:color w:val="auto"/>
        </w:rPr>
        <w:t xml:space="preserve">. </w:t>
      </w:r>
    </w:p>
    <w:p w14:paraId="3FB944E1" w14:textId="77777777" w:rsidR="009C4C55" w:rsidRPr="006B76DF" w:rsidRDefault="009C4C55" w:rsidP="005B772A">
      <w:pPr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14:paraId="5F6091FA" w14:textId="35E07ED6" w:rsidR="009C4C55" w:rsidRDefault="00005643" w:rsidP="005B772A">
      <w:p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“</w:t>
      </w:r>
      <w:r w:rsidR="00D8322B" w:rsidRPr="009E3B1B">
        <w:rPr>
          <w:rFonts w:asciiTheme="minorHAnsi" w:hAnsiTheme="minorHAnsi" w:cstheme="minorHAnsi"/>
          <w:color w:val="auto"/>
        </w:rPr>
        <w:t xml:space="preserve">Dopo il calo importante dei valori registrato nel 2020 a causa della diminuita domanda e aumentata offerta scaturite dalla pandemia, </w:t>
      </w:r>
      <w:bookmarkStart w:id="1" w:name="_Hlk152581621"/>
      <w:r>
        <w:rPr>
          <w:rFonts w:asciiTheme="minorHAnsi" w:hAnsiTheme="minorHAnsi" w:cstheme="minorHAnsi"/>
          <w:color w:val="auto"/>
        </w:rPr>
        <w:t xml:space="preserve">- afferma </w:t>
      </w:r>
      <w:r w:rsidRPr="00005643">
        <w:rPr>
          <w:rFonts w:asciiTheme="minorHAnsi" w:hAnsiTheme="minorHAnsi" w:cstheme="minorHAnsi"/>
          <w:i/>
          <w:iCs/>
          <w:color w:val="auto"/>
        </w:rPr>
        <w:t>Fabiana Megliola, Responsabile Ufficio Studi Gruppo Tecnocasa</w:t>
      </w:r>
      <w:r>
        <w:rPr>
          <w:rFonts w:asciiTheme="minorHAnsi" w:hAnsiTheme="minorHAnsi" w:cstheme="minorHAnsi"/>
          <w:color w:val="auto"/>
        </w:rPr>
        <w:t xml:space="preserve"> - </w:t>
      </w:r>
      <w:r w:rsidR="00D8322B" w:rsidRPr="009E3B1B">
        <w:rPr>
          <w:rFonts w:asciiTheme="minorHAnsi" w:hAnsiTheme="minorHAnsi" w:cstheme="minorHAnsi"/>
          <w:color w:val="auto"/>
        </w:rPr>
        <w:t>continua l’andamento positivo iniziato nel 2015</w:t>
      </w:r>
      <w:bookmarkEnd w:id="1"/>
      <w:r w:rsidR="00D8322B" w:rsidRPr="009E3B1B">
        <w:rPr>
          <w:rFonts w:asciiTheme="minorHAnsi" w:hAnsiTheme="minorHAnsi" w:cstheme="minorHAnsi"/>
          <w:color w:val="auto"/>
        </w:rPr>
        <w:t>.</w:t>
      </w:r>
      <w:r w:rsidR="009E3B1B">
        <w:rPr>
          <w:rFonts w:asciiTheme="minorHAnsi" w:hAnsiTheme="minorHAnsi" w:cstheme="minorHAnsi"/>
          <w:color w:val="auto"/>
        </w:rPr>
        <w:t xml:space="preserve"> </w:t>
      </w:r>
      <w:r w:rsidR="00D8322B" w:rsidRPr="009E3B1B">
        <w:rPr>
          <w:rFonts w:asciiTheme="minorHAnsi" w:hAnsiTheme="minorHAnsi" w:cstheme="minorHAnsi"/>
          <w:color w:val="auto"/>
        </w:rPr>
        <w:t>Il mercato lamenta una preoccupante carenza di immobili dovuta al fatto che molti</w:t>
      </w:r>
      <w:r w:rsidR="00093AFC" w:rsidRPr="009E3B1B">
        <w:rPr>
          <w:rFonts w:asciiTheme="minorHAnsi" w:hAnsiTheme="minorHAnsi" w:cstheme="minorHAnsi"/>
          <w:color w:val="auto"/>
        </w:rPr>
        <w:t xml:space="preserve"> di essi</w:t>
      </w:r>
      <w:r w:rsidR="00D8322B" w:rsidRPr="009E3B1B">
        <w:rPr>
          <w:rFonts w:asciiTheme="minorHAnsi" w:hAnsiTheme="minorHAnsi" w:cstheme="minorHAnsi"/>
          <w:color w:val="auto"/>
        </w:rPr>
        <w:t xml:space="preserve"> </w:t>
      </w:r>
      <w:r w:rsidR="00093AFC" w:rsidRPr="009E3B1B">
        <w:rPr>
          <w:rFonts w:asciiTheme="minorHAnsi" w:hAnsiTheme="minorHAnsi" w:cstheme="minorHAnsi"/>
          <w:color w:val="auto"/>
        </w:rPr>
        <w:t>s</w:t>
      </w:r>
      <w:r w:rsidR="00D8322B" w:rsidRPr="009E3B1B">
        <w:rPr>
          <w:rFonts w:asciiTheme="minorHAnsi" w:hAnsiTheme="minorHAnsi" w:cstheme="minorHAnsi"/>
          <w:color w:val="auto"/>
        </w:rPr>
        <w:t>ono stati affittati con contratti di lungo periodo durante la pandemia</w:t>
      </w:r>
      <w:r w:rsidR="00093AFC" w:rsidRPr="009E3B1B">
        <w:rPr>
          <w:rFonts w:asciiTheme="minorHAnsi" w:hAnsiTheme="minorHAnsi" w:cstheme="minorHAnsi"/>
          <w:color w:val="auto"/>
        </w:rPr>
        <w:t>.</w:t>
      </w:r>
      <w:r w:rsidR="00D8322B" w:rsidRPr="009E3B1B">
        <w:rPr>
          <w:rFonts w:asciiTheme="minorHAnsi" w:hAnsiTheme="minorHAnsi" w:cstheme="minorHAnsi"/>
          <w:color w:val="auto"/>
        </w:rPr>
        <w:t xml:space="preserve"> </w:t>
      </w:r>
      <w:r w:rsidR="00093AFC" w:rsidRPr="009E3B1B">
        <w:rPr>
          <w:rFonts w:asciiTheme="minorHAnsi" w:hAnsiTheme="minorHAnsi" w:cstheme="minorHAnsi"/>
          <w:color w:val="auto"/>
        </w:rPr>
        <w:t xml:space="preserve">Numerosi </w:t>
      </w:r>
      <w:r w:rsidR="00D8322B" w:rsidRPr="009E3B1B">
        <w:rPr>
          <w:rFonts w:asciiTheme="minorHAnsi" w:hAnsiTheme="minorHAnsi" w:cstheme="minorHAnsi"/>
          <w:color w:val="auto"/>
        </w:rPr>
        <w:t xml:space="preserve">proprietari preferiscono gli short </w:t>
      </w:r>
      <w:proofErr w:type="spellStart"/>
      <w:r w:rsidR="00D8322B" w:rsidRPr="009E3B1B">
        <w:rPr>
          <w:rFonts w:asciiTheme="minorHAnsi" w:hAnsiTheme="minorHAnsi" w:cstheme="minorHAnsi"/>
          <w:color w:val="auto"/>
        </w:rPr>
        <w:t>rent</w:t>
      </w:r>
      <w:proofErr w:type="spellEnd"/>
      <w:r w:rsidR="00D8322B" w:rsidRPr="009E3B1B">
        <w:rPr>
          <w:rFonts w:asciiTheme="minorHAnsi" w:hAnsiTheme="minorHAnsi" w:cstheme="minorHAnsi"/>
          <w:color w:val="auto"/>
        </w:rPr>
        <w:t xml:space="preserve"> temendo un’eventuale morosità degli inquilini</w:t>
      </w:r>
      <w:r w:rsidR="007C68E5" w:rsidRPr="009E3B1B">
        <w:rPr>
          <w:rFonts w:asciiTheme="minorHAnsi" w:hAnsiTheme="minorHAnsi" w:cstheme="minorHAnsi"/>
          <w:color w:val="auto"/>
        </w:rPr>
        <w:t>.</w:t>
      </w:r>
      <w:r w:rsidR="009E3B1B">
        <w:rPr>
          <w:rFonts w:asciiTheme="minorHAnsi" w:hAnsiTheme="minorHAnsi" w:cstheme="minorHAnsi"/>
          <w:color w:val="auto"/>
        </w:rPr>
        <w:t xml:space="preserve"> </w:t>
      </w:r>
      <w:r w:rsidR="007C68E5" w:rsidRPr="009E3B1B">
        <w:rPr>
          <w:rFonts w:asciiTheme="minorHAnsi" w:hAnsiTheme="minorHAnsi" w:cstheme="minorHAnsi"/>
          <w:color w:val="auto"/>
        </w:rPr>
        <w:t>Desiderano anche assicurarsi</w:t>
      </w:r>
      <w:r w:rsidR="00D8322B" w:rsidRPr="009E3B1B">
        <w:rPr>
          <w:rFonts w:asciiTheme="minorHAnsi" w:hAnsiTheme="minorHAnsi" w:cstheme="minorHAnsi"/>
          <w:color w:val="auto"/>
        </w:rPr>
        <w:t xml:space="preserve"> la possibilità di rientrare in possesso dell’immobile. A contribuire al rialzo dei valori anche l’inflazione</w:t>
      </w:r>
      <w:r w:rsidR="006E47CE">
        <w:rPr>
          <w:rFonts w:asciiTheme="minorHAnsi" w:hAnsiTheme="minorHAnsi" w:cstheme="minorHAnsi"/>
          <w:color w:val="auto"/>
        </w:rPr>
        <w:t xml:space="preserve"> e l’aumento della domanda alimentata da chi ha difficoltà di accesso al credito</w:t>
      </w:r>
      <w:r w:rsidR="00C54F19">
        <w:rPr>
          <w:rFonts w:asciiTheme="minorHAnsi" w:hAnsiTheme="minorHAnsi" w:cstheme="minorHAnsi"/>
          <w:color w:val="auto"/>
        </w:rPr>
        <w:t>”</w:t>
      </w:r>
      <w:r w:rsidR="006E47CE">
        <w:rPr>
          <w:rFonts w:asciiTheme="minorHAnsi" w:hAnsiTheme="minorHAnsi" w:cstheme="minorHAnsi"/>
          <w:color w:val="auto"/>
        </w:rPr>
        <w:t>.</w:t>
      </w:r>
    </w:p>
    <w:p w14:paraId="51E405CA" w14:textId="77777777" w:rsidR="009C4C55" w:rsidRPr="006B76DF" w:rsidRDefault="009C4C55" w:rsidP="005B772A">
      <w:pPr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14:paraId="305EED8C" w14:textId="77777777" w:rsidR="006B76DF" w:rsidRDefault="00D8322B" w:rsidP="005B772A">
      <w:pPr>
        <w:jc w:val="both"/>
        <w:rPr>
          <w:rFonts w:asciiTheme="minorHAnsi" w:hAnsiTheme="minorHAnsi" w:cstheme="minorHAnsi"/>
          <w:color w:val="auto"/>
        </w:rPr>
      </w:pPr>
      <w:r w:rsidRPr="00D06976">
        <w:rPr>
          <w:rFonts w:asciiTheme="minorHAnsi" w:hAnsiTheme="minorHAnsi" w:cstheme="minorHAnsi"/>
          <w:b/>
          <w:bCs/>
          <w:color w:val="auto"/>
        </w:rPr>
        <w:t>I canoni di locazione sono in aumento in tutte le grandi città ma, in modo particolare, a Bari</w:t>
      </w:r>
      <w:r w:rsidR="00093AFC" w:rsidRPr="00D06976">
        <w:rPr>
          <w:rFonts w:asciiTheme="minorHAnsi" w:hAnsiTheme="minorHAnsi" w:cstheme="minorHAnsi"/>
          <w:b/>
          <w:bCs/>
          <w:color w:val="auto"/>
        </w:rPr>
        <w:t>, N</w:t>
      </w:r>
      <w:r w:rsidRPr="00D06976">
        <w:rPr>
          <w:rFonts w:asciiTheme="minorHAnsi" w:hAnsiTheme="minorHAnsi" w:cstheme="minorHAnsi"/>
          <w:b/>
          <w:bCs/>
          <w:color w:val="auto"/>
        </w:rPr>
        <w:t>apoli</w:t>
      </w:r>
      <w:r w:rsidR="00093AFC" w:rsidRPr="00D06976">
        <w:rPr>
          <w:rFonts w:asciiTheme="minorHAnsi" w:hAnsiTheme="minorHAnsi" w:cstheme="minorHAnsi"/>
          <w:b/>
          <w:bCs/>
          <w:color w:val="auto"/>
        </w:rPr>
        <w:t xml:space="preserve"> e Verona</w:t>
      </w:r>
      <w:r w:rsidRPr="00D06976">
        <w:rPr>
          <w:rFonts w:asciiTheme="minorHAnsi" w:hAnsiTheme="minorHAnsi" w:cstheme="minorHAnsi"/>
          <w:b/>
          <w:bCs/>
          <w:color w:val="auto"/>
        </w:rPr>
        <w:t xml:space="preserve"> dove</w:t>
      </w:r>
      <w:r w:rsidR="00093AFC" w:rsidRPr="00D06976">
        <w:rPr>
          <w:rFonts w:asciiTheme="minorHAnsi" w:hAnsiTheme="minorHAnsi" w:cstheme="minorHAnsi"/>
          <w:b/>
          <w:bCs/>
          <w:color w:val="auto"/>
        </w:rPr>
        <w:t xml:space="preserve"> si ricorre maggiormente</w:t>
      </w:r>
      <w:r w:rsidRPr="00D06976">
        <w:rPr>
          <w:rFonts w:asciiTheme="minorHAnsi" w:hAnsiTheme="minorHAnsi" w:cstheme="minorHAnsi"/>
          <w:b/>
          <w:bCs/>
          <w:color w:val="auto"/>
        </w:rPr>
        <w:t xml:space="preserve"> agli affitti brevi</w:t>
      </w:r>
      <w:r w:rsidRPr="009E3B1B">
        <w:rPr>
          <w:rFonts w:asciiTheme="minorHAnsi" w:hAnsiTheme="minorHAnsi" w:cstheme="minorHAnsi"/>
          <w:color w:val="auto"/>
        </w:rPr>
        <w:t xml:space="preserve">. </w:t>
      </w:r>
    </w:p>
    <w:p w14:paraId="5BD59B71" w14:textId="77777777" w:rsidR="006B76DF" w:rsidRDefault="006B76DF" w:rsidP="005B772A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945"/>
        <w:gridCol w:w="1770"/>
        <w:gridCol w:w="2190"/>
      </w:tblGrid>
      <w:tr w:rsidR="006B76DF" w:rsidRPr="009E3B1B" w14:paraId="69D4DE64" w14:textId="77777777" w:rsidTr="00974E2E">
        <w:trPr>
          <w:jc w:val="center"/>
        </w:trPr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032E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i/>
                <w:color w:val="auto"/>
              </w:rPr>
              <w:t>Variazione percentuale canoni di locazione I sem23 rispetto al</w:t>
            </w:r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r w:rsidRPr="009E3B1B">
              <w:rPr>
                <w:rFonts w:asciiTheme="minorHAnsi" w:hAnsiTheme="minorHAnsi" w:cstheme="minorHAnsi"/>
                <w:b/>
                <w:i/>
                <w:color w:val="auto"/>
              </w:rPr>
              <w:t>II sem22</w:t>
            </w:r>
          </w:p>
        </w:tc>
      </w:tr>
      <w:tr w:rsidR="006B76DF" w:rsidRPr="009E3B1B" w14:paraId="7637CB3D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4A3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Città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0AD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Monolocale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748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Bilocale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780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Trilocale</w:t>
            </w:r>
          </w:p>
        </w:tc>
      </w:tr>
      <w:tr w:rsidR="006B76DF" w:rsidRPr="009E3B1B" w14:paraId="6D7C8FE7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905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Bari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8A61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4DB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8252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3,2</w:t>
            </w:r>
          </w:p>
        </w:tc>
      </w:tr>
      <w:tr w:rsidR="006B76DF" w:rsidRPr="009E3B1B" w14:paraId="67463C37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488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Bologna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39BD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374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1107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5,6</w:t>
            </w:r>
          </w:p>
        </w:tc>
      </w:tr>
      <w:tr w:rsidR="006B76DF" w:rsidRPr="009E3B1B" w14:paraId="1FC84EBE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1CB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Firenze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8D3B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EB06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0FD0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3,3</w:t>
            </w:r>
          </w:p>
        </w:tc>
      </w:tr>
      <w:tr w:rsidR="006B76DF" w:rsidRPr="009E3B1B" w14:paraId="4147C074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0FE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Genova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258A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CDF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0,2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4AA0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1,3</w:t>
            </w:r>
          </w:p>
        </w:tc>
      </w:tr>
      <w:tr w:rsidR="006B76DF" w:rsidRPr="009E3B1B" w14:paraId="6178AF69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44B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Milano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AF7F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9DE2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E5F4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3,9</w:t>
            </w:r>
          </w:p>
        </w:tc>
      </w:tr>
      <w:tr w:rsidR="006B76DF" w:rsidRPr="009E3B1B" w14:paraId="3D5428E1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CF4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Napoli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765D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303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6323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2,8</w:t>
            </w:r>
          </w:p>
        </w:tc>
      </w:tr>
      <w:tr w:rsidR="006B76DF" w:rsidRPr="009E3B1B" w14:paraId="1722F9D8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08B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Palermo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A686A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DEA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7E59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1,9</w:t>
            </w:r>
          </w:p>
        </w:tc>
      </w:tr>
      <w:tr w:rsidR="006B76DF" w:rsidRPr="009E3B1B" w14:paraId="4EFFDA06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152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Roma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4960F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465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35C6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3,7</w:t>
            </w:r>
          </w:p>
        </w:tc>
      </w:tr>
      <w:tr w:rsidR="006B76DF" w:rsidRPr="009E3B1B" w14:paraId="23AED057" w14:textId="77777777" w:rsidTr="00974E2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400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Torino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5C74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990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0E5C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2,4</w:t>
            </w:r>
          </w:p>
        </w:tc>
      </w:tr>
      <w:tr w:rsidR="006B76DF" w:rsidRPr="009E3B1B" w14:paraId="3FBD2B37" w14:textId="77777777" w:rsidTr="00974E2E">
        <w:trPr>
          <w:trHeight w:val="1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92F" w14:textId="77777777" w:rsidR="006B76DF" w:rsidRPr="009E3B1B" w:rsidRDefault="006B76DF" w:rsidP="00974E2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Verona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DFCF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05C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A10D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3B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3,9</w:t>
            </w:r>
          </w:p>
        </w:tc>
      </w:tr>
      <w:tr w:rsidR="006B76DF" w:rsidRPr="009E3B1B" w14:paraId="5DCD1937" w14:textId="77777777" w:rsidTr="00974E2E">
        <w:trPr>
          <w:trHeight w:val="194"/>
          <w:jc w:val="center"/>
        </w:trPr>
        <w:tc>
          <w:tcPr>
            <w:tcW w:w="7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FBF5C" w14:textId="77777777" w:rsidR="006B76DF" w:rsidRPr="009E3B1B" w:rsidRDefault="006B76DF" w:rsidP="00974E2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9E3B1B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Fonte: Ufficio Studi Gruppo Tecnocasa</w:t>
            </w:r>
          </w:p>
        </w:tc>
      </w:tr>
    </w:tbl>
    <w:p w14:paraId="79E21366" w14:textId="77777777" w:rsidR="006B76DF" w:rsidRDefault="006B76DF" w:rsidP="005B772A">
      <w:pPr>
        <w:jc w:val="both"/>
        <w:rPr>
          <w:rFonts w:asciiTheme="minorHAnsi" w:hAnsiTheme="minorHAnsi" w:cstheme="minorHAnsi"/>
          <w:color w:val="auto"/>
        </w:rPr>
      </w:pPr>
    </w:p>
    <w:p w14:paraId="42F0DCC5" w14:textId="77777777" w:rsidR="00D06976" w:rsidRDefault="00D8322B" w:rsidP="005B772A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>Nei capoluoghi di provincia i canoni di locazione non hanno mai smesso di crescere e continuano la loro corsa al rialzo: +2,3% i monolocali, +2,5% i bilocali e +2,9% per i trilocali.</w:t>
      </w:r>
      <w:bookmarkEnd w:id="0"/>
      <w:r w:rsidR="005B772A" w:rsidRPr="009E3B1B">
        <w:rPr>
          <w:rFonts w:asciiTheme="minorHAnsi" w:hAnsiTheme="minorHAnsi" w:cstheme="minorHAnsi"/>
          <w:color w:val="auto"/>
        </w:rPr>
        <w:t xml:space="preserve"> </w:t>
      </w:r>
      <w:r w:rsidR="00D06976">
        <w:rPr>
          <w:rFonts w:asciiTheme="minorHAnsi" w:hAnsiTheme="minorHAnsi" w:cstheme="minorHAnsi"/>
          <w:color w:val="auto"/>
        </w:rPr>
        <w:br/>
      </w:r>
    </w:p>
    <w:p w14:paraId="55EAA5A5" w14:textId="1D7C41B1" w:rsidR="005B772A" w:rsidRPr="009E3B1B" w:rsidRDefault="00D8322B" w:rsidP="005B772A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>Si conferma la maggiore facilità di affitto per le soluzioni di “qualità”, ben arredate, posizionate in zone servite e luminose. Resta sempre elevata l’attenzione ai costi condominiali.</w:t>
      </w:r>
    </w:p>
    <w:p w14:paraId="593F4C5A" w14:textId="77777777" w:rsidR="005B772A" w:rsidRPr="009E3B1B" w:rsidRDefault="005B772A" w:rsidP="005B772A">
      <w:pPr>
        <w:jc w:val="both"/>
        <w:rPr>
          <w:rFonts w:asciiTheme="minorHAnsi" w:hAnsiTheme="minorHAnsi" w:cstheme="minorHAnsi"/>
          <w:color w:val="auto"/>
        </w:rPr>
      </w:pPr>
    </w:p>
    <w:p w14:paraId="5E989FB0" w14:textId="4FEBFF3F" w:rsidR="005B772A" w:rsidRPr="009E3B1B" w:rsidRDefault="005B772A" w:rsidP="009E3B1B">
      <w:pPr>
        <w:jc w:val="center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noProof/>
          <w:color w:val="auto"/>
        </w:rPr>
        <w:lastRenderedPageBreak/>
        <w:drawing>
          <wp:inline distT="0" distB="0" distL="0" distR="0" wp14:anchorId="2BAC069A" wp14:editId="4693FFE3">
            <wp:extent cx="5441403" cy="2711718"/>
            <wp:effectExtent l="0" t="0" r="6985" b="0"/>
            <wp:docPr id="2" name="Picture" title="This slide contains the following visuals: Andamento dei canoni di locazione (Bilocali) ,textbox. Please refer to the notes on this slide for details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FB036D9-BDB6-26E9-9906-D6473C01C8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title="This slide contains the following visuals: Andamento dei canoni di locazione (Bilocali) ,textbox. Please refer to the notes on this slide for details">
                      <a:hlinkClick r:id="rId7"/>
                      <a:extLst>
                        <a:ext uri="{FF2B5EF4-FFF2-40B4-BE49-F238E27FC236}">
                          <a16:creationId xmlns:a16="http://schemas.microsoft.com/office/drawing/2014/main" id="{0FB036D9-BDB6-26E9-9906-D6473C01C8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290" cy="2729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51CA6" w14:textId="392E3F23" w:rsidR="00D8322B" w:rsidRDefault="00D8322B" w:rsidP="005B772A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247"/>
        <w:gridCol w:w="2452"/>
        <w:gridCol w:w="2475"/>
      </w:tblGrid>
      <w:tr w:rsidR="00D8322B" w:rsidRPr="009E3B1B" w14:paraId="19997A38" w14:textId="77777777" w:rsidTr="006B76DF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B6833" w14:textId="7F065341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8"/>
              </w:rPr>
            </w:pPr>
            <w:bookmarkStart w:id="2" w:name="_Hlk145077550"/>
            <w:r w:rsidRPr="009E3B1B">
              <w:rPr>
                <w:rFonts w:asciiTheme="minorHAnsi" w:hAnsiTheme="minorHAnsi" w:cstheme="minorHAnsi"/>
                <w:b/>
                <w:i/>
                <w:color w:val="auto"/>
                <w:sz w:val="28"/>
              </w:rPr>
              <w:t>Canoni medi mensili</w:t>
            </w:r>
            <w:r w:rsidR="009E3B1B">
              <w:rPr>
                <w:rFonts w:asciiTheme="minorHAnsi" w:hAnsiTheme="minorHAnsi" w:cstheme="minorHAnsi"/>
                <w:b/>
                <w:i/>
                <w:color w:val="auto"/>
                <w:sz w:val="28"/>
              </w:rPr>
              <w:t xml:space="preserve"> (espressi in Euro)</w:t>
            </w:r>
          </w:p>
        </w:tc>
      </w:tr>
      <w:tr w:rsidR="00D8322B" w:rsidRPr="009E3B1B" w14:paraId="0CE0D4A8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C67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Città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EE4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Monolocali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1A4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Bilocale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EFC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Trilocale</w:t>
            </w:r>
          </w:p>
        </w:tc>
      </w:tr>
      <w:tr w:rsidR="00D8322B" w:rsidRPr="009E3B1B" w14:paraId="6EC4C61D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F538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Bari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40F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380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E90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523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F5A" w14:textId="33E98615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65</w:t>
            </w:r>
            <w:r w:rsidR="007C68E5" w:rsidRPr="009E3B1B"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D8322B" w:rsidRPr="009E3B1B" w14:paraId="447DF4DA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41A5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Bologna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B33" w14:textId="4DF14DED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60</w:t>
            </w:r>
            <w:r w:rsidR="007C68E5" w:rsidRPr="009E3B1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F94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734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18B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885</w:t>
            </w:r>
          </w:p>
        </w:tc>
      </w:tr>
      <w:tr w:rsidR="00D8322B" w:rsidRPr="009E3B1B" w14:paraId="73F12CBD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237E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Firenze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984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577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E08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699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1C6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817</w:t>
            </w:r>
          </w:p>
        </w:tc>
      </w:tr>
      <w:tr w:rsidR="00D8322B" w:rsidRPr="009E3B1B" w14:paraId="2234B1E5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3744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Genova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EB3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321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5D6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415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E0B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500</w:t>
            </w:r>
          </w:p>
        </w:tc>
      </w:tr>
      <w:tr w:rsidR="00D8322B" w:rsidRPr="009E3B1B" w14:paraId="393B887B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6872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Milano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77A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775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9E5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1068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995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1453</w:t>
            </w:r>
          </w:p>
        </w:tc>
      </w:tr>
      <w:tr w:rsidR="00D8322B" w:rsidRPr="009E3B1B" w14:paraId="5E148DC5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7DF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Napoli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0E6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448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E0E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620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B82" w14:textId="70B80CCD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78</w:t>
            </w:r>
            <w:r w:rsidR="007C68E5" w:rsidRPr="009E3B1B">
              <w:rPr>
                <w:rFonts w:asciiTheme="minorHAnsi" w:hAnsiTheme="minorHAnsi" w:cstheme="minorHAnsi"/>
                <w:color w:val="auto"/>
              </w:rPr>
              <w:t>3</w:t>
            </w:r>
          </w:p>
        </w:tc>
      </w:tr>
      <w:tr w:rsidR="00D8322B" w:rsidRPr="009E3B1B" w14:paraId="4625909A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CB6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Palermo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C69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309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6E7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427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C95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525</w:t>
            </w:r>
          </w:p>
        </w:tc>
      </w:tr>
      <w:tr w:rsidR="00D8322B" w:rsidRPr="009E3B1B" w14:paraId="6AF63F89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4C6F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Roma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073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613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241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797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D1D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988</w:t>
            </w:r>
          </w:p>
        </w:tc>
      </w:tr>
      <w:tr w:rsidR="00D8322B" w:rsidRPr="009E3B1B" w14:paraId="2EDCF1BD" w14:textId="77777777" w:rsidTr="006B76D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7FC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Torino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086" w14:textId="764452F4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3</w:t>
            </w:r>
            <w:r w:rsidR="007C68E5" w:rsidRPr="009E3B1B">
              <w:rPr>
                <w:rFonts w:asciiTheme="minorHAnsi" w:hAnsiTheme="minorHAnsi" w:cstheme="minorHAnsi"/>
                <w:color w:val="auto"/>
              </w:rPr>
              <w:t>30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46F" w14:textId="5A4234DE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45</w:t>
            </w:r>
            <w:r w:rsidR="007C68E5" w:rsidRPr="009E3B1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BC6" w14:textId="4CB60298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56</w:t>
            </w:r>
            <w:r w:rsidR="007C68E5" w:rsidRPr="009E3B1B"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D8322B" w:rsidRPr="009E3B1B" w14:paraId="6B301309" w14:textId="77777777" w:rsidTr="006B76DF">
        <w:trPr>
          <w:trHeight w:val="6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AC16" w14:textId="77777777" w:rsidR="00D8322B" w:rsidRPr="009E3B1B" w:rsidRDefault="00D8322B" w:rsidP="008F6A0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E3B1B">
              <w:rPr>
                <w:rFonts w:asciiTheme="minorHAnsi" w:hAnsiTheme="minorHAnsi" w:cstheme="minorHAnsi"/>
                <w:b/>
                <w:color w:val="auto"/>
              </w:rPr>
              <w:t>Verona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C52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464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805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611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6AD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9E3B1B">
              <w:rPr>
                <w:rFonts w:asciiTheme="minorHAnsi" w:hAnsiTheme="minorHAnsi" w:cstheme="minorHAnsi"/>
                <w:color w:val="auto"/>
              </w:rPr>
              <w:t>722</w:t>
            </w:r>
          </w:p>
        </w:tc>
      </w:tr>
      <w:tr w:rsidR="00D8322B" w:rsidRPr="009E3B1B" w14:paraId="631DA177" w14:textId="77777777" w:rsidTr="006B76DF">
        <w:trPr>
          <w:trHeight w:val="60"/>
        </w:trPr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3875" w14:textId="77777777" w:rsidR="00D8322B" w:rsidRPr="009E3B1B" w:rsidRDefault="00D8322B" w:rsidP="008F6A0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3B1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Fonte: Ufficio Studi Gruppo Tecnocasa</w:t>
            </w:r>
          </w:p>
        </w:tc>
      </w:tr>
    </w:tbl>
    <w:p w14:paraId="02C83E95" w14:textId="77777777" w:rsidR="00D8322B" w:rsidRPr="009E3B1B" w:rsidRDefault="00D8322B" w:rsidP="00D8322B">
      <w:pPr>
        <w:rPr>
          <w:rFonts w:asciiTheme="minorHAnsi" w:hAnsiTheme="minorHAnsi" w:cstheme="minorHAnsi"/>
          <w:color w:val="auto"/>
        </w:rPr>
      </w:pPr>
    </w:p>
    <w:bookmarkEnd w:id="2"/>
    <w:p w14:paraId="28C6F899" w14:textId="77777777" w:rsidR="006E47CE" w:rsidRDefault="00D8322B" w:rsidP="006E47CE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 xml:space="preserve">Nel primo semestre del 2023 </w:t>
      </w:r>
      <w:r w:rsidRPr="006B76DF">
        <w:rPr>
          <w:rFonts w:asciiTheme="minorHAnsi" w:hAnsiTheme="minorHAnsi" w:cstheme="minorHAnsi"/>
          <w:b/>
          <w:bCs/>
          <w:color w:val="auto"/>
        </w:rPr>
        <w:t>il 70,1% ha cercato casa in affitto come scelta abitativa</w:t>
      </w:r>
      <w:r w:rsidRPr="009E3B1B">
        <w:rPr>
          <w:rFonts w:asciiTheme="minorHAnsi" w:hAnsiTheme="minorHAnsi" w:cstheme="minorHAnsi"/>
          <w:color w:val="auto"/>
        </w:rPr>
        <w:t xml:space="preserve">, con una lieve diminuzione rispetto allo stesso periodo dell’anno scorso, quando la percentuale era pari al 71,2%. In questa categoria rientrano coloro che non riescono ad acquistare o volutamente scelgono l’affitto. </w:t>
      </w:r>
      <w:r w:rsidRPr="006B76DF">
        <w:rPr>
          <w:rFonts w:asciiTheme="minorHAnsi" w:hAnsiTheme="minorHAnsi" w:cstheme="minorHAnsi"/>
          <w:b/>
          <w:bCs/>
          <w:color w:val="auto"/>
        </w:rPr>
        <w:t>Aumentano i contratti stipulati da chi cerca per motivi di studio che passano da 3,8% a 5%</w:t>
      </w:r>
      <w:r w:rsidRPr="009E3B1B">
        <w:rPr>
          <w:rFonts w:asciiTheme="minorHAnsi" w:hAnsiTheme="minorHAnsi" w:cstheme="minorHAnsi"/>
          <w:color w:val="auto"/>
        </w:rPr>
        <w:t xml:space="preserve">, sostanzialmente stabili quelli stipulati per motivi di lavoro (da 25% a 24,9%).  </w:t>
      </w:r>
    </w:p>
    <w:p w14:paraId="3619D960" w14:textId="77777777" w:rsidR="006E47CE" w:rsidRDefault="006E47CE" w:rsidP="006E47CE">
      <w:pPr>
        <w:jc w:val="center"/>
        <w:rPr>
          <w:rFonts w:asciiTheme="minorHAnsi" w:hAnsiTheme="minorHAnsi" w:cstheme="minorHAnsi"/>
          <w:color w:val="auto"/>
        </w:rPr>
      </w:pPr>
    </w:p>
    <w:p w14:paraId="106743BD" w14:textId="69D84474" w:rsidR="00D8322B" w:rsidRDefault="006E47CE" w:rsidP="006E47CE">
      <w:pPr>
        <w:jc w:val="center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inline distT="0" distB="0" distL="0" distR="0" wp14:anchorId="4D0567A7" wp14:editId="01B7DA92">
            <wp:extent cx="4007084" cy="2283306"/>
            <wp:effectExtent l="0" t="0" r="0" b="3175"/>
            <wp:docPr id="367281883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281883" name="Immagine 1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84" cy="22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CA73" w14:textId="2592965D" w:rsidR="006E47CE" w:rsidRDefault="006E47CE" w:rsidP="00D8322B">
      <w:pPr>
        <w:jc w:val="both"/>
        <w:rPr>
          <w:rFonts w:asciiTheme="minorHAnsi" w:hAnsiTheme="minorHAnsi" w:cstheme="minorHAnsi"/>
          <w:color w:val="auto"/>
        </w:rPr>
      </w:pPr>
    </w:p>
    <w:p w14:paraId="76C54AD6" w14:textId="77777777" w:rsidR="00D8322B" w:rsidRPr="009E3B1B" w:rsidRDefault="00D8322B" w:rsidP="00D8322B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 xml:space="preserve">Nella prima parte del 2023 si sono stipulati prevalentemente contratti con le fasce più giovani di età, comprese tra 18 e 34 anni (45,5%), in leggero aumento rispetto al 44,3% dell’anno scorso. </w:t>
      </w:r>
    </w:p>
    <w:p w14:paraId="09D4E69C" w14:textId="77777777" w:rsidR="00D8322B" w:rsidRPr="009E3B1B" w:rsidRDefault="00D8322B" w:rsidP="00D8322B">
      <w:pPr>
        <w:jc w:val="both"/>
        <w:rPr>
          <w:rFonts w:asciiTheme="minorHAnsi" w:hAnsiTheme="minorHAnsi" w:cstheme="minorHAnsi"/>
          <w:color w:val="auto"/>
        </w:rPr>
      </w:pPr>
    </w:p>
    <w:p w14:paraId="479FB3AE" w14:textId="3047D177" w:rsidR="00D8322B" w:rsidRPr="009E3B1B" w:rsidRDefault="00D8322B" w:rsidP="00D8322B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 xml:space="preserve">I dati sui contratti stipulati nella prima parte del 2023 segnalano un aumento di quelli a canone transitorio che ora si attestano intorno al 25,4% (da 20,7% di un anno fa). </w:t>
      </w:r>
    </w:p>
    <w:p w14:paraId="54BCFF37" w14:textId="77777777" w:rsidR="00D8322B" w:rsidRPr="009E3B1B" w:rsidRDefault="00D8322B" w:rsidP="00D8322B">
      <w:pPr>
        <w:jc w:val="both"/>
        <w:rPr>
          <w:rFonts w:asciiTheme="minorHAnsi" w:hAnsiTheme="minorHAnsi" w:cstheme="minorHAnsi"/>
          <w:color w:val="auto"/>
        </w:rPr>
      </w:pPr>
      <w:r w:rsidRPr="009E3B1B">
        <w:rPr>
          <w:rFonts w:asciiTheme="minorHAnsi" w:hAnsiTheme="minorHAnsi" w:cstheme="minorHAnsi"/>
          <w:color w:val="auto"/>
        </w:rPr>
        <w:t xml:space="preserve">Tiene ancora il canone concordato ma occorre capire quanto ancora potrà essere appetibile alla luce dell’aumento della domanda che trascina al rialzo i canoni sul libero mercato.  </w:t>
      </w:r>
    </w:p>
    <w:p w14:paraId="7197B51F" w14:textId="77777777" w:rsidR="00D8322B" w:rsidRPr="009E3B1B" w:rsidRDefault="00D8322B" w:rsidP="00D8322B">
      <w:pPr>
        <w:jc w:val="both"/>
        <w:rPr>
          <w:rFonts w:asciiTheme="minorHAnsi" w:hAnsiTheme="minorHAnsi" w:cstheme="minorHAnsi"/>
          <w:color w:val="auto"/>
        </w:rPr>
      </w:pPr>
    </w:p>
    <w:p w14:paraId="640C65CA" w14:textId="42CA0DA2" w:rsidR="00D8322B" w:rsidRPr="00DB11EC" w:rsidRDefault="009A451A" w:rsidP="006B76DF">
      <w:pPr>
        <w:jc w:val="center"/>
        <w:rPr>
          <w:color w:val="auto"/>
        </w:rPr>
      </w:pPr>
      <w:r w:rsidRPr="009A451A">
        <w:rPr>
          <w:noProof/>
          <w:color w:val="auto"/>
        </w:rPr>
        <w:drawing>
          <wp:inline distT="0" distB="0" distL="0" distR="0" wp14:anchorId="5C79CFA6" wp14:editId="27725F07">
            <wp:extent cx="5213682" cy="2974687"/>
            <wp:effectExtent l="0" t="0" r="6350" b="0"/>
            <wp:docPr id="957479672" name="Immagine 957479672" title="This slide contains the following visuals: Contratti stipulati - Italia ,textbox. Please refer to the notes on this slide for details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E210ABBE-B559-BCEA-379E-E43ED57D28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title="This slide contains the following visuals: Contratti stipulati - Italia ,textbox. Please refer to the notes on this slide for details">
                      <a:hlinkClick r:id="rId10"/>
                      <a:extLst>
                        <a:ext uri="{FF2B5EF4-FFF2-40B4-BE49-F238E27FC236}">
                          <a16:creationId xmlns:a16="http://schemas.microsoft.com/office/drawing/2014/main" id="{E210ABBE-B559-BCEA-379E-E43ED57D28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7544" cy="297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322B" w:rsidRPr="00DB11E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AA72" w14:textId="77777777" w:rsidR="009E3B1B" w:rsidRDefault="009E3B1B" w:rsidP="009E3B1B">
      <w:r>
        <w:separator/>
      </w:r>
    </w:p>
  </w:endnote>
  <w:endnote w:type="continuationSeparator" w:id="0">
    <w:p w14:paraId="34DC6411" w14:textId="77777777" w:rsidR="009E3B1B" w:rsidRDefault="009E3B1B" w:rsidP="009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CBBA" w14:textId="40143802" w:rsidR="009E3B1B" w:rsidRPr="009E3B1B" w:rsidRDefault="009E3B1B" w:rsidP="009E3B1B">
    <w:pPr>
      <w:pStyle w:val="Pidipagina"/>
      <w:jc w:val="right"/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</w:pPr>
    <w:bookmarkStart w:id="3" w:name="_Hlk148604523"/>
    <w:bookmarkStart w:id="4" w:name="_Hlk148604524"/>
    <w:bookmarkStart w:id="5" w:name="_Hlk148604615"/>
    <w:bookmarkStart w:id="6" w:name="_Hlk148604616"/>
    <w:r w:rsidRPr="009E3B1B"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  <w:t>Fonte: Ufficio Studi Gruppo Tecnocasa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931E" w14:textId="77777777" w:rsidR="009E3B1B" w:rsidRDefault="009E3B1B" w:rsidP="009E3B1B">
      <w:r>
        <w:separator/>
      </w:r>
    </w:p>
  </w:footnote>
  <w:footnote w:type="continuationSeparator" w:id="0">
    <w:p w14:paraId="4451CBA3" w14:textId="77777777" w:rsidR="009E3B1B" w:rsidRDefault="009E3B1B" w:rsidP="009E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F3DF" w14:textId="161A33AD" w:rsidR="009E3B1B" w:rsidRDefault="009E3B1B">
    <w:pPr>
      <w:pStyle w:val="Intestazione"/>
    </w:pPr>
    <w:r w:rsidRPr="00F6361B">
      <w:rPr>
        <w:noProof/>
      </w:rPr>
      <w:drawing>
        <wp:inline distT="0" distB="0" distL="0" distR="0" wp14:anchorId="063D3989" wp14:editId="75D4ED65">
          <wp:extent cx="1431290" cy="437515"/>
          <wp:effectExtent l="0" t="0" r="0" b="635"/>
          <wp:docPr id="1884044704" name="Immagine 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044704" name="Immagine 2" descr="Immagine che contiene testo,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2A"/>
    <w:rsid w:val="00005643"/>
    <w:rsid w:val="00077B73"/>
    <w:rsid w:val="00093AFC"/>
    <w:rsid w:val="00146803"/>
    <w:rsid w:val="003450AA"/>
    <w:rsid w:val="00437C66"/>
    <w:rsid w:val="005807E0"/>
    <w:rsid w:val="005B772A"/>
    <w:rsid w:val="006B76DF"/>
    <w:rsid w:val="006E47CE"/>
    <w:rsid w:val="007C68E5"/>
    <w:rsid w:val="009A451A"/>
    <w:rsid w:val="009C4C55"/>
    <w:rsid w:val="009E3B1B"/>
    <w:rsid w:val="00B4002A"/>
    <w:rsid w:val="00C54F19"/>
    <w:rsid w:val="00D06976"/>
    <w:rsid w:val="00D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9A2C"/>
  <w15:chartTrackingRefBased/>
  <w15:docId w15:val="{0D8227AE-D95C-45AA-A428-F214D83A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22B"/>
    <w:pPr>
      <w:spacing w:after="0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B1B"/>
    <w:rPr>
      <w:rFonts w:ascii="Times New Roman" w:eastAsia="Times New Roman" w:hAnsi="Times New Roman" w:cs="Times New Roman"/>
      <w:color w:val="FF0000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E3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B1B"/>
    <w:rPr>
      <w:rFonts w:ascii="Times New Roman" w:eastAsia="Times New Roman" w:hAnsi="Times New Roman" w:cs="Times New Roman"/>
      <w:color w:val="FF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powerbi.com/groups/me/reports/c45ab205-c38d-40e0-8935-de80eb79b454/?pbi_source=PowerPoi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.powerbi.com/groups/me/reports/20fdaa82-de4a-4c7e-afa7-131c9cb04e22/?pbi_source=PowerPoi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F418-734D-4A96-9073-AECAC68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Megliola</dc:creator>
  <cp:keywords/>
  <dc:description/>
  <cp:lastModifiedBy>Vittoriana Signorini</cp:lastModifiedBy>
  <cp:revision>10</cp:revision>
  <dcterms:created xsi:type="dcterms:W3CDTF">2023-12-13T10:07:00Z</dcterms:created>
  <dcterms:modified xsi:type="dcterms:W3CDTF">2023-12-18T09:48:00Z</dcterms:modified>
</cp:coreProperties>
</file>